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950" w:rsidRDefault="00E40123">
      <w:pPr>
        <w:pStyle w:val="Title"/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0" w:name="_gjdgxs" w:colFirst="0" w:colLast="0"/>
      <w:bookmarkEnd w:id="0"/>
      <w:r>
        <w:t>East Wake Middle School Daily Lesson Plan</w:t>
      </w:r>
    </w:p>
    <w:p w:rsidR="00E81950" w:rsidRDefault="00E40123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Teacher: 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950" w:rsidRDefault="00E40123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Lesson Date: April 16th - April 20th</w:t>
      </w:r>
    </w:p>
    <w:p w:rsidR="00E81950" w:rsidRDefault="00E40123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Subject: Math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E81950" w:rsidRDefault="00E8195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79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E81950">
        <w:trPr>
          <w:trHeight w:val="540"/>
        </w:trPr>
        <w:tc>
          <w:tcPr>
            <w:tcW w:w="14790" w:type="dxa"/>
            <w:tcBorders>
              <w:bottom w:val="single" w:sz="4" w:space="0" w:color="000000"/>
            </w:tcBorders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Common Core//Essential Skill Standard(s): </w:t>
            </w:r>
            <w:r>
              <w:rPr>
                <w:i/>
              </w:rPr>
              <w:t>(What are the skills being taught? Which standards are being specifically addressed in these lessons?</w:t>
            </w:r>
          </w:p>
          <w:p w:rsidR="00E81950" w:rsidRDefault="00E40123">
            <w:pPr>
              <w:pStyle w:val="normal0"/>
              <w:widowControl w:val="0"/>
              <w:ind w:left="720"/>
            </w:pPr>
            <w:r>
              <w:rPr>
                <w:b/>
              </w:rPr>
              <w:t>6.G.2</w:t>
            </w:r>
            <w:r>
              <w:t xml:space="preserve">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volume of a right rectangular prism</w:t>
            </w:r>
            <w:r>
              <w:t xml:space="preserve"> with </w:t>
            </w:r>
            <w:r>
              <w:rPr>
                <w:color w:val="00B050"/>
              </w:rPr>
              <w:t>fractional edge lengths</w:t>
            </w:r>
            <w:r>
              <w:t xml:space="preserve"> by </w:t>
            </w:r>
            <w:r>
              <w:rPr>
                <w:color w:val="FF0000"/>
              </w:rPr>
              <w:t>packing</w:t>
            </w:r>
            <w:r>
              <w:t xml:space="preserve"> it with </w:t>
            </w:r>
            <w:r>
              <w:rPr>
                <w:color w:val="00B050"/>
              </w:rPr>
              <w:t xml:space="preserve">unit cubes </w:t>
            </w:r>
            <w:r>
              <w:t xml:space="preserve">of the appropriate unit fraction edge lengths, and </w:t>
            </w:r>
            <w:r>
              <w:rPr>
                <w:color w:val="FF0000"/>
              </w:rPr>
              <w:t>show</w:t>
            </w:r>
            <w:r>
              <w:t xml:space="preserve"> that the </w:t>
            </w:r>
            <w:r>
              <w:rPr>
                <w:color w:val="00B050"/>
              </w:rPr>
              <w:t>volume</w:t>
            </w:r>
            <w:r>
              <w:t xml:space="preserve"> is the same as would be found by </w:t>
            </w:r>
            <w:r>
              <w:rPr>
                <w:color w:val="FF0000"/>
              </w:rPr>
              <w:t>multiplying</w:t>
            </w:r>
            <w:r>
              <w:t xml:space="preserve"> the </w:t>
            </w:r>
            <w:r>
              <w:rPr>
                <w:color w:val="00B050"/>
              </w:rPr>
              <w:t>edge lengths</w:t>
            </w:r>
            <w:r>
              <w:t xml:space="preserve"> of the </w:t>
            </w:r>
            <w:r>
              <w:rPr>
                <w:color w:val="00B050"/>
              </w:rPr>
              <w:t>prism</w:t>
            </w:r>
            <w:r>
              <w:t xml:space="preserve">. </w:t>
            </w:r>
            <w:r>
              <w:rPr>
                <w:color w:val="FF0000"/>
              </w:rPr>
              <w:t>Apply</w:t>
            </w:r>
            <w:r>
              <w:t xml:space="preserve"> the formulas V = l w h and V = b h to </w:t>
            </w:r>
            <w:r>
              <w:rPr>
                <w:color w:val="FF0000"/>
              </w:rPr>
              <w:t>find</w:t>
            </w:r>
            <w:r>
              <w:t xml:space="preserve"> </w:t>
            </w:r>
            <w:r>
              <w:rPr>
                <w:color w:val="00B050"/>
              </w:rPr>
              <w:t>volumes of right rectangular prisms with fractional edge le</w:t>
            </w:r>
            <w:r>
              <w:rPr>
                <w:color w:val="00B050"/>
              </w:rPr>
              <w:t>ngths</w:t>
            </w:r>
            <w:r>
              <w:t xml:space="preserve"> in the context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  <w:p w:rsidR="00E81950" w:rsidRDefault="00E81950">
            <w:pPr>
              <w:pStyle w:val="normal0"/>
              <w:widowControl w:val="0"/>
              <w:ind w:left="720"/>
            </w:pPr>
          </w:p>
          <w:p w:rsidR="00E81950" w:rsidRDefault="00E40123">
            <w:pPr>
              <w:pStyle w:val="normal0"/>
              <w:widowControl w:val="0"/>
              <w:spacing w:line="276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</w:rPr>
              <w:t>6.G.4</w:t>
            </w:r>
            <w:r>
              <w:t xml:space="preserve"> </w:t>
            </w:r>
            <w:r>
              <w:rPr>
                <w:color w:val="FF0000"/>
              </w:rPr>
              <w:t>Represent</w:t>
            </w:r>
            <w:r>
              <w:t xml:space="preserve"> </w:t>
            </w:r>
            <w:r>
              <w:rPr>
                <w:color w:val="00B050"/>
              </w:rPr>
              <w:t>three-dimensional figures</w:t>
            </w:r>
            <w:r>
              <w:t xml:space="preserve"> using </w:t>
            </w:r>
            <w:r>
              <w:rPr>
                <w:color w:val="00B050"/>
              </w:rPr>
              <w:t>nets made up of rectangles and triangles</w:t>
            </w:r>
            <w:r>
              <w:t xml:space="preserve">, and </w:t>
            </w:r>
            <w:r>
              <w:rPr>
                <w:color w:val="FF0000"/>
              </w:rPr>
              <w:t>use</w:t>
            </w:r>
            <w:r>
              <w:t xml:space="preserve"> the </w:t>
            </w:r>
            <w:r>
              <w:rPr>
                <w:color w:val="00B050"/>
              </w:rPr>
              <w:t>nets</w:t>
            </w:r>
            <w:r>
              <w:t xml:space="preserve"> to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surface area</w:t>
            </w:r>
            <w:r>
              <w:t xml:space="preserve"> of these figures. </w:t>
            </w:r>
            <w:r>
              <w:rPr>
                <w:color w:val="FF0000"/>
              </w:rPr>
              <w:t>Apply</w:t>
            </w:r>
            <w:r>
              <w:t xml:space="preserve"> these </w:t>
            </w:r>
            <w:r>
              <w:rPr>
                <w:color w:val="00B050"/>
              </w:rPr>
              <w:t>techniques</w:t>
            </w:r>
            <w:r>
              <w:t xml:space="preserve"> in the cont</w:t>
            </w:r>
            <w:r>
              <w:t xml:space="preserve">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</w:tc>
      </w:tr>
      <w:tr w:rsidR="00E81950">
        <w:tc>
          <w:tcPr>
            <w:tcW w:w="14790" w:type="dxa"/>
            <w:tcBorders>
              <w:bottom w:val="single" w:sz="4" w:space="0" w:color="000000"/>
            </w:tcBorders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>The Learning Targets</w:t>
            </w:r>
            <w:r>
              <w:t>: (Written in student friendly language)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Monday: </w:t>
            </w:r>
            <w:r>
              <w:t>Track Out/No School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Tuesday: </w:t>
            </w:r>
            <w:r>
              <w:t>Track Out/No School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Wednesday: </w:t>
            </w:r>
            <w:r>
              <w:t>Track Out/No School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Thursday: </w:t>
            </w:r>
            <w:r>
              <w:t>Students will complete Quarter 3 Pre-CFA on Mastery Connect.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 xml:space="preserve">Friday: </w:t>
            </w:r>
            <w:r>
              <w:t>Students will understand that 3D figures have faces, edges, vertices and can be represented as a net.</w:t>
            </w:r>
          </w:p>
        </w:tc>
      </w:tr>
      <w:tr w:rsidR="00E81950">
        <w:tc>
          <w:tcPr>
            <w:tcW w:w="14790" w:type="dxa"/>
            <w:tcBorders>
              <w:bottom w:val="single" w:sz="4" w:space="0" w:color="000000"/>
            </w:tcBorders>
          </w:tcPr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b/>
              </w:rPr>
              <w:t xml:space="preserve">Vocabulary: </w:t>
            </w:r>
            <w:r>
              <w:rPr>
                <w:color w:val="111111"/>
              </w:rPr>
              <w:t xml:space="preserve">Base, Edge, 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>Face, Height, Isosceles, Net, Polyhedron, Pyramid, Right r</w:t>
            </w:r>
            <w:r>
              <w:rPr>
                <w:color w:val="111111"/>
              </w:rPr>
              <w:t>ectangular prism, Triangular prism, Vertices, Area, Decomposing,</w:t>
            </w:r>
          </w:p>
          <w:p w:rsidR="00E81950" w:rsidRDefault="00E40123">
            <w:pPr>
              <w:pStyle w:val="normal0"/>
              <w:rPr>
                <w:b/>
              </w:rPr>
            </w:pPr>
            <w:r>
              <w:rPr>
                <w:color w:val="111111"/>
              </w:rPr>
              <w:t>Dimensions, Surface Area, Volume</w:t>
            </w:r>
          </w:p>
        </w:tc>
      </w:tr>
    </w:tbl>
    <w:p w:rsidR="00E81950" w:rsidRDefault="00E8195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2340"/>
        <w:gridCol w:w="2520"/>
        <w:gridCol w:w="2415"/>
        <w:gridCol w:w="2340"/>
        <w:gridCol w:w="2355"/>
        <w:gridCol w:w="2430"/>
      </w:tblGrid>
      <w:tr w:rsidR="00E81950">
        <w:trPr>
          <w:trHeight w:val="200"/>
        </w:trPr>
        <w:tc>
          <w:tcPr>
            <w:tcW w:w="585" w:type="dxa"/>
            <w:shd w:val="clear" w:color="auto" w:fill="000000"/>
          </w:tcPr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  <w:shd w:val="clear" w:color="auto" w:fill="000000"/>
          </w:tcPr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20" w:type="dxa"/>
            <w:shd w:val="clear" w:color="auto" w:fill="000000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15" w:type="dxa"/>
            <w:shd w:val="clear" w:color="auto" w:fill="000000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55" w:type="dxa"/>
            <w:shd w:val="clear" w:color="auto" w:fill="000000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430" w:type="dxa"/>
            <w:shd w:val="clear" w:color="auto" w:fill="000000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E81950">
        <w:trPr>
          <w:trHeight w:val="1420"/>
        </w:trPr>
        <w:tc>
          <w:tcPr>
            <w:tcW w:w="585" w:type="dxa"/>
            <w:vAlign w:val="center"/>
          </w:tcPr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E81950" w:rsidRDefault="00E81950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</w:tc>
        <w:tc>
          <w:tcPr>
            <w:tcW w:w="2520" w:type="dxa"/>
          </w:tcPr>
          <w:p w:rsidR="00E81950" w:rsidRDefault="00E40123">
            <w:pPr>
              <w:pStyle w:val="normal0"/>
            </w:pPr>
            <w:r>
              <w:t>~Teacher Greets Students at the Door with a handshake.</w:t>
            </w:r>
          </w:p>
          <w:p w:rsidR="00E81950" w:rsidRDefault="00E40123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15" w:type="dxa"/>
          </w:tcPr>
          <w:p w:rsidR="00E81950" w:rsidRDefault="00E40123">
            <w:pPr>
              <w:pStyle w:val="normal0"/>
            </w:pPr>
            <w:r>
              <w:t>~Teacher Greets Students at the Door with a handshake.</w:t>
            </w:r>
          </w:p>
          <w:p w:rsidR="00E81950" w:rsidRDefault="00E40123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</w:t>
            </w:r>
            <w:r>
              <w:t>der for the week)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</w:pPr>
            <w:r>
              <w:t>~Teacher Greets Students at the Door with a handshake.</w:t>
            </w:r>
          </w:p>
          <w:p w:rsidR="00E81950" w:rsidRDefault="00E40123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~Teacher Greets Students at the Door with a handshake.</w:t>
            </w:r>
          </w:p>
          <w:p w:rsidR="00E81950" w:rsidRDefault="00E40123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</w:t>
            </w:r>
            <w:r>
              <w:t>select student leader for the week)</w:t>
            </w: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~Teacher Greets Students at the Door with a handshake.</w:t>
            </w:r>
          </w:p>
          <w:p w:rsidR="00E81950" w:rsidRDefault="00E40123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</w:tr>
      <w:tr w:rsidR="00E81950">
        <w:trPr>
          <w:trHeight w:val="1420"/>
        </w:trPr>
        <w:tc>
          <w:tcPr>
            <w:tcW w:w="585" w:type="dxa"/>
            <w:vAlign w:val="center"/>
          </w:tcPr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 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“Good Things” Teacher determines when this will take place, beginning, middle, or maybe end of class if appropriate.</w:t>
            </w:r>
          </w:p>
          <w:p w:rsidR="00E81950" w:rsidRDefault="00E81950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E81950" w:rsidRDefault="00E81950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E81950" w:rsidRDefault="00E81950">
            <w:pPr>
              <w:pStyle w:val="normal0"/>
            </w:pPr>
          </w:p>
        </w:tc>
        <w:tc>
          <w:tcPr>
            <w:tcW w:w="2520" w:type="dxa"/>
          </w:tcPr>
          <w:p w:rsidR="00E81950" w:rsidRDefault="00E40123">
            <w:pPr>
              <w:pStyle w:val="normal0"/>
            </w:pPr>
            <w:r>
              <w:t>SW complete Success Starter “Two Da</w:t>
            </w:r>
            <w:r>
              <w:t>ily Word Problem” which requires them to choose a word problem to explain their thinking using writing weekly.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T/SW do “Good Things”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</w:tc>
        <w:tc>
          <w:tcPr>
            <w:tcW w:w="2415" w:type="dxa"/>
          </w:tcPr>
          <w:p w:rsidR="00E81950" w:rsidRDefault="00E40123">
            <w:pPr>
              <w:pStyle w:val="normal0"/>
            </w:pPr>
            <w:r>
              <w:t>SW complete Success Starter “Two Daily Word Problem” which requires them to choose a word problem to explain their think</w:t>
            </w:r>
            <w:r>
              <w:t>ing using writing weekly.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T/SW do “Good Things”</w:t>
            </w:r>
          </w:p>
          <w:p w:rsidR="00E81950" w:rsidRDefault="00E81950">
            <w:pPr>
              <w:pStyle w:val="normal0"/>
            </w:pPr>
          </w:p>
        </w:tc>
        <w:tc>
          <w:tcPr>
            <w:tcW w:w="2340" w:type="dxa"/>
          </w:tcPr>
          <w:p w:rsidR="00E81950" w:rsidRDefault="00E40123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T/SW do “Good Things”</w:t>
            </w:r>
          </w:p>
          <w:p w:rsidR="00E81950" w:rsidRDefault="00E81950">
            <w:pPr>
              <w:pStyle w:val="normal0"/>
            </w:pP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T/SW do “Good Things”</w:t>
            </w:r>
          </w:p>
          <w:p w:rsidR="00E81950" w:rsidRDefault="00E81950">
            <w:pPr>
              <w:pStyle w:val="normal0"/>
            </w:pP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SW complete Success Starter “Two Daily Word Problem” which requires them to choose a w</w:t>
            </w:r>
            <w:r>
              <w:t>ord problem to explain their thinking using writing weekly.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T/SW do “Good Things”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  <w:hyperlink r:id="rId6">
              <w:r w:rsidR="00E40123">
                <w:rPr>
                  <w:color w:val="1155CC"/>
                  <w:u w:val="single"/>
                </w:rPr>
                <w:t>Unit 12 Vocabulary</w:t>
              </w:r>
            </w:hyperlink>
          </w:p>
        </w:tc>
      </w:tr>
      <w:tr w:rsidR="00E81950">
        <w:trPr>
          <w:trHeight w:val="6820"/>
        </w:trPr>
        <w:tc>
          <w:tcPr>
            <w:tcW w:w="585" w:type="dxa"/>
            <w:vAlign w:val="center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(Focused lessons [explicit teaching/modeling, strategy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demonstration,graphic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supports, activate prior knowledge], shared reading, shared writing, video clips, illustrations, discussion, writing process.)</w:t>
            </w:r>
          </w:p>
        </w:tc>
        <w:tc>
          <w:tcPr>
            <w:tcW w:w="2520" w:type="dxa"/>
          </w:tcPr>
          <w:p w:rsidR="00E81950" w:rsidRDefault="00E40123">
            <w:pPr>
              <w:pStyle w:val="normal0"/>
              <w:rPr>
                <w:b/>
                <w:color w:val="111111"/>
                <w:highlight w:val="white"/>
              </w:rPr>
            </w:pPr>
            <w:r>
              <w:rPr>
                <w:b/>
                <w:color w:val="111111"/>
                <w:highlight w:val="white"/>
              </w:rPr>
              <w:t>Tracked Out/No School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b/>
                <w:color w:val="111111"/>
                <w:highlight w:val="white"/>
              </w:rPr>
              <w:t>Tracked Out/No 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b/>
                <w:color w:val="111111"/>
                <w:highlight w:val="white"/>
              </w:rPr>
              <w:t xml:space="preserve">Tracked </w:t>
            </w:r>
            <w:r>
              <w:rPr>
                <w:b/>
                <w:color w:val="111111"/>
                <w:highlight w:val="white"/>
              </w:rPr>
              <w:t>Out/No School</w:t>
            </w: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TW read the directions as a whole group for the Quarter 3 Pre-CFA on Mastery Connect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TW review expectations for taking the Quarter 3 Pre-CFA using computers.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(About 5 minutes)</w:t>
            </w: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TW have students take out Unit 12 Vocabulary and review as a who</w:t>
            </w:r>
            <w:r>
              <w:t>le class and make the Unit 12 TIPS Chart.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introduce the lesson by using the following items: tissue box, glue stick, textbook, and marker.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have students identify the faces, edges, and vertices. 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then have the students take out 3-D figure notes and review as a whole class.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</w:rPr>
              <w:t>TW discuss how prisms and pyramids are named for the shape of their bases.·</w:t>
            </w:r>
            <w:r>
              <w:rPr>
                <w:color w:val="111111"/>
                <w:sz w:val="14"/>
                <w:szCs w:val="14"/>
              </w:rPr>
              <w:t xml:space="preserve">         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hold up sample cardboard boxes (loosely reassemble them) and ask students to predict </w:t>
            </w:r>
            <w:r>
              <w:rPr>
                <w:color w:val="111111"/>
              </w:rPr>
              <w:t xml:space="preserve">what they would look like if you cut them on the edges and tried to lay them flat. 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show students cardboard nets and  ask them to identify what they have in common (pairs of sides that are the same, rectangular boxes have six sides each) 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remind students that they worked with nets in 5th grade and remind students that a net is related to a shape’s surface area.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discuss real-world applications of needing to know the exact measurements of the sides of a box (like wrapping a package, pa</w:t>
            </w:r>
            <w:r>
              <w:rPr>
                <w:color w:val="111111"/>
              </w:rPr>
              <w:t xml:space="preserve">inting, laying carpet).  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then have the students take out 3-D figure notes and review as a whole class.</w:t>
            </w: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  <w:hyperlink r:id="rId7">
              <w:r w:rsidR="00E40123">
                <w:rPr>
                  <w:color w:val="1155CC"/>
                  <w:u w:val="single"/>
                </w:rPr>
                <w:t>3-D Figure Notes</w:t>
              </w:r>
            </w:hyperlink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</w:p>
        </w:tc>
      </w:tr>
      <w:tr w:rsidR="00E81950">
        <w:trPr>
          <w:trHeight w:val="860"/>
        </w:trPr>
        <w:tc>
          <w:tcPr>
            <w:tcW w:w="585" w:type="dxa"/>
            <w:vAlign w:val="center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25 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  <w:p w:rsidR="00E81950" w:rsidRDefault="00E81950">
            <w:pPr>
              <w:pStyle w:val="normal0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81950" w:rsidRDefault="00E81950">
            <w:pPr>
              <w:pStyle w:val="normal0"/>
              <w:rPr>
                <w:color w:val="111111"/>
                <w:highlight w:val="white"/>
              </w:rPr>
            </w:pPr>
          </w:p>
        </w:tc>
        <w:tc>
          <w:tcPr>
            <w:tcW w:w="2415" w:type="dxa"/>
          </w:tcPr>
          <w:p w:rsidR="00E81950" w:rsidRDefault="00E81950">
            <w:pPr>
              <w:pStyle w:val="normal0"/>
              <w:rPr>
                <w:color w:val="111111"/>
              </w:rPr>
            </w:pPr>
          </w:p>
        </w:tc>
        <w:tc>
          <w:tcPr>
            <w:tcW w:w="2340" w:type="dxa"/>
          </w:tcPr>
          <w:p w:rsidR="00E81950" w:rsidRDefault="00E81950">
            <w:pPr>
              <w:pStyle w:val="normal0"/>
            </w:pP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SW discuss in their table groups expectations for taking assessments in the classroom on computers.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TW have various student leaders share out.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(About 5 - 7 minutes)</w:t>
            </w: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TW have students choose from two different 3-D Activities.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 xml:space="preserve">SW work with a partner on the activity that they choose. 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  <w:hyperlink r:id="rId8">
              <w:r w:rsidR="00E40123">
                <w:rPr>
                  <w:color w:val="1155CC"/>
                  <w:u w:val="single"/>
                </w:rPr>
                <w:t>3-D Activities</w:t>
              </w:r>
            </w:hyperlink>
          </w:p>
        </w:tc>
      </w:tr>
      <w:tr w:rsidR="00E81950">
        <w:tc>
          <w:tcPr>
            <w:tcW w:w="585" w:type="dxa"/>
            <w:vAlign w:val="center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  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E81950" w:rsidRDefault="00E81950">
            <w:pPr>
              <w:pStyle w:val="normal0"/>
              <w:ind w:left="360"/>
            </w:pPr>
          </w:p>
          <w:p w:rsidR="00E81950" w:rsidRDefault="00E81950">
            <w:pPr>
              <w:pStyle w:val="normal0"/>
              <w:ind w:left="360"/>
            </w:pPr>
          </w:p>
        </w:tc>
        <w:tc>
          <w:tcPr>
            <w:tcW w:w="2520" w:type="dxa"/>
          </w:tcPr>
          <w:p w:rsidR="00E81950" w:rsidRDefault="00E81950">
            <w:pPr>
              <w:pStyle w:val="normal0"/>
            </w:pPr>
            <w:bookmarkStart w:id="1" w:name="_wo7499u1qfzh" w:colFirst="0" w:colLast="0"/>
            <w:bookmarkEnd w:id="1"/>
          </w:p>
          <w:p w:rsidR="00E81950" w:rsidRDefault="00E81950">
            <w:pPr>
              <w:pStyle w:val="normal0"/>
            </w:pPr>
            <w:bookmarkStart w:id="2" w:name="_uebu74a952bk" w:colFirst="0" w:colLast="0"/>
            <w:bookmarkEnd w:id="2"/>
          </w:p>
          <w:p w:rsidR="00E81950" w:rsidRDefault="00E81950">
            <w:pPr>
              <w:pStyle w:val="normal0"/>
            </w:pPr>
            <w:bookmarkStart w:id="3" w:name="_qnpn397kp6im" w:colFirst="0" w:colLast="0"/>
            <w:bookmarkEnd w:id="3"/>
          </w:p>
          <w:p w:rsidR="00E81950" w:rsidRDefault="00E81950">
            <w:pPr>
              <w:pStyle w:val="normal0"/>
            </w:pPr>
            <w:bookmarkStart w:id="4" w:name="_fcvzx8i7tz4" w:colFirst="0" w:colLast="0"/>
            <w:bookmarkEnd w:id="4"/>
          </w:p>
          <w:p w:rsidR="00E81950" w:rsidRDefault="00E40123">
            <w:pPr>
              <w:pStyle w:val="normal0"/>
            </w:pPr>
            <w:r>
              <w:rPr>
                <w:b/>
              </w:rPr>
              <w:t>Homework: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b/>
              </w:rPr>
              <w:t>Homework: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81950">
            <w:pPr>
              <w:pStyle w:val="normal0"/>
              <w:rPr>
                <w:color w:val="111111"/>
              </w:rPr>
            </w:pPr>
          </w:p>
          <w:p w:rsidR="00E81950" w:rsidRDefault="00E40123">
            <w:pPr>
              <w:pStyle w:val="normal0"/>
              <w:rPr>
                <w:color w:val="111111"/>
              </w:rPr>
            </w:pPr>
            <w:r>
              <w:rPr>
                <w:b/>
              </w:rPr>
              <w:t>Homework:</w:t>
            </w: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SW complete the math assessment using their notes.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rPr>
                <w:b/>
              </w:rPr>
              <w:t xml:space="preserve">Homework: </w:t>
            </w:r>
            <w:r>
              <w:t>None due to assessment</w:t>
            </w: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SW continue to work with a partner on their 3-D activity.</w:t>
            </w:r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t>If students finish early they can independently work on page 526-527 in the Holt Math Book.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  <w:hyperlink r:id="rId9">
              <w:r w:rsidR="00E40123">
                <w:rPr>
                  <w:color w:val="1155CC"/>
                  <w:u w:val="single"/>
                </w:rPr>
                <w:t>Holt Math Book Pages</w:t>
              </w:r>
            </w:hyperlink>
          </w:p>
          <w:p w:rsidR="00E81950" w:rsidRDefault="00E81950">
            <w:pPr>
              <w:pStyle w:val="normal0"/>
            </w:pPr>
          </w:p>
          <w:p w:rsidR="00E81950" w:rsidRDefault="00E40123">
            <w:pPr>
              <w:pStyle w:val="normal0"/>
            </w:pPr>
            <w:r>
              <w:rPr>
                <w:b/>
              </w:rPr>
              <w:t>Hom</w:t>
            </w:r>
            <w:r>
              <w:rPr>
                <w:b/>
              </w:rPr>
              <w:t xml:space="preserve">ework: </w:t>
            </w:r>
            <w:r>
              <w:t>SW need to watch Unit 12, Video 1 and complete the homework portion of their notes.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  <w:hyperlink r:id="rId10">
              <w:r w:rsidR="00E40123">
                <w:rPr>
                  <w:color w:val="1155CC"/>
                  <w:u w:val="single"/>
                </w:rPr>
                <w:t xml:space="preserve">Unit 12 Video 1 </w:t>
              </w:r>
            </w:hyperlink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  <w:rPr>
                <w:b/>
              </w:rPr>
            </w:pPr>
            <w:hyperlink r:id="rId11">
              <w:r w:rsidR="00E40123">
                <w:rPr>
                  <w:color w:val="1155CC"/>
                  <w:u w:val="single"/>
                </w:rPr>
                <w:t>U</w:t>
              </w:r>
              <w:r w:rsidR="00E40123">
                <w:rPr>
                  <w:color w:val="1155CC"/>
                  <w:u w:val="single"/>
                </w:rPr>
                <w:t>nit 12 Video 1 Notes</w:t>
              </w:r>
            </w:hyperlink>
          </w:p>
        </w:tc>
      </w:tr>
      <w:tr w:rsidR="00E81950">
        <w:tc>
          <w:tcPr>
            <w:tcW w:w="585" w:type="dxa"/>
            <w:vAlign w:val="center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less than 5 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 xml:space="preserve">have achieved today’s objective? Exit ticket, performance task, collaborative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google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doc, rubric, self and peer assessment, grade cam </w:t>
            </w:r>
          </w:p>
          <w:p w:rsidR="00E81950" w:rsidRDefault="00E81950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  <w:rPr>
                <w:b/>
              </w:rPr>
            </w:pPr>
          </w:p>
        </w:tc>
        <w:tc>
          <w:tcPr>
            <w:tcW w:w="2415" w:type="dxa"/>
          </w:tcPr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</w:tc>
        <w:tc>
          <w:tcPr>
            <w:tcW w:w="2340" w:type="dxa"/>
          </w:tcPr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Quarter 4 Pre-CFA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3-D Activity</w:t>
            </w:r>
          </w:p>
          <w:p w:rsidR="00E81950" w:rsidRDefault="00E81950">
            <w:pPr>
              <w:pStyle w:val="normal0"/>
            </w:pPr>
          </w:p>
          <w:p w:rsidR="00E81950" w:rsidRDefault="00E81950">
            <w:pPr>
              <w:pStyle w:val="normal0"/>
            </w:pPr>
          </w:p>
        </w:tc>
      </w:tr>
      <w:tr w:rsidR="00E81950">
        <w:tc>
          <w:tcPr>
            <w:tcW w:w="585" w:type="dxa"/>
            <w:vAlign w:val="center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29</w:t>
            </w:r>
          </w:p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WIN Time</w:t>
            </w:r>
          </w:p>
          <w:p w:rsidR="00E81950" w:rsidRDefault="00E4012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(What I Need)</w:t>
            </w:r>
          </w:p>
        </w:tc>
        <w:tc>
          <w:tcPr>
            <w:tcW w:w="2520" w:type="dxa"/>
          </w:tcPr>
          <w:p w:rsidR="00E81950" w:rsidRDefault="00E40123">
            <w:pPr>
              <w:pStyle w:val="normal0"/>
            </w:pPr>
            <w:r>
              <w:t>This will change daily depending on student needs.</w:t>
            </w:r>
          </w:p>
          <w:p w:rsidR="00E81950" w:rsidRDefault="00E40123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E81950" w:rsidRDefault="00E40123">
            <w:pPr>
              <w:pStyle w:val="normal0"/>
            </w:pPr>
            <w:r>
              <w:t>~PBL: Book Project</w:t>
            </w:r>
          </w:p>
          <w:p w:rsidR="00E81950" w:rsidRDefault="00E40123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E81950" w:rsidRDefault="00E40123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15" w:type="dxa"/>
          </w:tcPr>
          <w:p w:rsidR="00E81950" w:rsidRDefault="00E40123">
            <w:pPr>
              <w:pStyle w:val="normal0"/>
            </w:pPr>
            <w:r>
              <w:t>This will change daily depending on student needs.</w:t>
            </w:r>
          </w:p>
          <w:p w:rsidR="00E81950" w:rsidRDefault="00E40123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E81950" w:rsidRDefault="00E40123">
            <w:pPr>
              <w:pStyle w:val="normal0"/>
            </w:pPr>
            <w:r>
              <w:t>~PBL: Book Project</w:t>
            </w:r>
          </w:p>
          <w:p w:rsidR="00E81950" w:rsidRDefault="00E40123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E81950" w:rsidRDefault="00E40123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40" w:type="dxa"/>
          </w:tcPr>
          <w:p w:rsidR="00E81950" w:rsidRDefault="00E40123">
            <w:pPr>
              <w:pStyle w:val="normal0"/>
            </w:pPr>
            <w:r>
              <w:t>This will change daily depending on student needs.</w:t>
            </w:r>
          </w:p>
          <w:p w:rsidR="00E81950" w:rsidRDefault="00E40123">
            <w:pPr>
              <w:pStyle w:val="normal0"/>
            </w:pPr>
            <w:r>
              <w:t>~Students that need enrichment will work on Khan Academy or Project Based Learni</w:t>
            </w:r>
            <w:r>
              <w:t>ng Activity</w:t>
            </w:r>
          </w:p>
          <w:p w:rsidR="00E81950" w:rsidRDefault="00E40123">
            <w:pPr>
              <w:pStyle w:val="normal0"/>
            </w:pPr>
            <w:r>
              <w:t>~PBL: Book Project</w:t>
            </w:r>
          </w:p>
          <w:p w:rsidR="00E81950" w:rsidRDefault="00E40123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E81950" w:rsidRDefault="00E40123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55" w:type="dxa"/>
          </w:tcPr>
          <w:p w:rsidR="00E81950" w:rsidRDefault="00E40123">
            <w:pPr>
              <w:pStyle w:val="normal0"/>
            </w:pPr>
            <w:r>
              <w:t>This will change daily depending on student needs.</w:t>
            </w:r>
          </w:p>
          <w:p w:rsidR="00E81950" w:rsidRDefault="00E40123">
            <w:pPr>
              <w:pStyle w:val="normal0"/>
            </w:pPr>
            <w:r>
              <w:t xml:space="preserve">~Students that need enrichment will work on Khan Academy or Project </w:t>
            </w:r>
            <w:r>
              <w:t>Based Learning Activity</w:t>
            </w:r>
          </w:p>
          <w:p w:rsidR="00E81950" w:rsidRDefault="00E40123">
            <w:pPr>
              <w:pStyle w:val="normal0"/>
            </w:pPr>
            <w:r>
              <w:t>~PBL: Book Project</w:t>
            </w:r>
          </w:p>
          <w:p w:rsidR="00E81950" w:rsidRDefault="00E40123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E81950" w:rsidRDefault="00E40123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30" w:type="dxa"/>
          </w:tcPr>
          <w:p w:rsidR="00E81950" w:rsidRDefault="00E40123">
            <w:pPr>
              <w:pStyle w:val="normal0"/>
            </w:pPr>
            <w:r>
              <w:t>This will change daily depending on student needs.</w:t>
            </w:r>
          </w:p>
          <w:p w:rsidR="00E81950" w:rsidRDefault="00E40123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E81950" w:rsidRDefault="00E40123">
            <w:pPr>
              <w:pStyle w:val="normal0"/>
            </w:pPr>
            <w:r>
              <w:t>~PBL: Book Project</w:t>
            </w:r>
          </w:p>
          <w:p w:rsidR="00E81950" w:rsidRDefault="00E40123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E81950" w:rsidRDefault="00E40123">
            <w:pPr>
              <w:pStyle w:val="normal0"/>
            </w:pPr>
            <w:r>
              <w:rPr>
                <w:b/>
              </w:rPr>
              <w:t>Notes:</w:t>
            </w:r>
          </w:p>
          <w:p w:rsidR="00E81950" w:rsidRDefault="00E81950">
            <w:pPr>
              <w:pStyle w:val="normal0"/>
              <w:rPr>
                <w:b/>
              </w:rPr>
            </w:pPr>
          </w:p>
        </w:tc>
      </w:tr>
    </w:tbl>
    <w:p w:rsidR="00E81950" w:rsidRDefault="00E4012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Narrow" w:eastAsia="Arial Narrow" w:hAnsi="Arial Narrow" w:cs="Arial Narrow"/>
          <w:sz w:val="18"/>
          <w:szCs w:val="18"/>
        </w:rPr>
        <w:br/>
      </w:r>
    </w:p>
    <w:tbl>
      <w:tblPr>
        <w:tblStyle w:val="a1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E81950">
        <w:tc>
          <w:tcPr>
            <w:tcW w:w="14790" w:type="dxa"/>
          </w:tcPr>
          <w:p w:rsidR="00E81950" w:rsidRDefault="00E401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E81950" w:rsidRDefault="00E819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E81950" w:rsidRDefault="00E40123">
            <w:pPr>
              <w:pStyle w:val="normal0"/>
              <w:ind w:left="180"/>
            </w:pPr>
            <w:r>
              <w:t xml:space="preserve">Students will be on </w:t>
            </w:r>
            <w:proofErr w:type="spellStart"/>
            <w:r>
              <w:t>iReady</w:t>
            </w:r>
            <w:proofErr w:type="spellEnd"/>
            <w:r>
              <w:t xml:space="preserve"> and Khan Academy for support and remediation on their devices and at h</w:t>
            </w:r>
            <w:r>
              <w:t>ome.</w:t>
            </w:r>
          </w:p>
          <w:p w:rsidR="00E81950" w:rsidRDefault="00E40123">
            <w:pPr>
              <w:pStyle w:val="normal0"/>
              <w:ind w:left="180"/>
            </w:pPr>
            <w:r>
              <w:t>Lessons may change depending on student needs and exit tickets</w:t>
            </w:r>
          </w:p>
          <w:p w:rsidR="00E81950" w:rsidRDefault="00E40123">
            <w:pPr>
              <w:pStyle w:val="normal0"/>
              <w:ind w:left="180"/>
            </w:pPr>
            <w:r>
              <w:t xml:space="preserve">Math 6+ will have </w:t>
            </w:r>
            <w:proofErr w:type="spellStart"/>
            <w:r>
              <w:t>SuperStars</w:t>
            </w:r>
            <w:proofErr w:type="spellEnd"/>
            <w:r>
              <w:t xml:space="preserve"> on Tuesday and Pull Out PBL Activity with Ms. Forrest weekly during WIN Time.</w:t>
            </w:r>
          </w:p>
          <w:p w:rsidR="00E81950" w:rsidRDefault="00E40123">
            <w:pPr>
              <w:pStyle w:val="normal0"/>
              <w:ind w:left="180"/>
            </w:pPr>
            <w:r>
              <w:t>All classes have Remediation done daily during our intervention block. Remediatio</w:t>
            </w:r>
            <w:r>
              <w:t>n is based off of student need.</w:t>
            </w:r>
          </w:p>
          <w:p w:rsidR="00E81950" w:rsidRDefault="00E40123">
            <w:pPr>
              <w:pStyle w:val="normal0"/>
              <w:ind w:left="180"/>
            </w:pPr>
            <w:r>
              <w:t>Other classes have an enrichment activity with Ms. Forrest during WIN Time (Algebra Book Project: Digital)</w:t>
            </w:r>
          </w:p>
          <w:p w:rsidR="00E81950" w:rsidRDefault="00E40123">
            <w:pPr>
              <w:pStyle w:val="normal0"/>
              <w:ind w:left="180"/>
            </w:pPr>
            <w:r>
              <w:t>Mrs. Huff pulls students on Wednesday and Thursday during WIN Time in both 1st and 5th Period for remediation of skil</w:t>
            </w:r>
            <w:r>
              <w:t>ls needed.</w:t>
            </w:r>
          </w:p>
        </w:tc>
      </w:tr>
    </w:tbl>
    <w:p w:rsidR="00E81950" w:rsidRDefault="00E8195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1950" w:rsidRDefault="00E8195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1950" w:rsidRDefault="00E8195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E81950" w:rsidSect="00E81950">
      <w:footerReference w:type="defaul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23" w:rsidRDefault="00E40123" w:rsidP="00E81950">
      <w:r>
        <w:separator/>
      </w:r>
    </w:p>
  </w:endnote>
  <w:endnote w:type="continuationSeparator" w:id="0">
    <w:p w:rsidR="00E40123" w:rsidRDefault="00E40123" w:rsidP="00E8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50" w:rsidRDefault="00E81950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23" w:rsidRDefault="00E40123" w:rsidP="00E81950">
      <w:r>
        <w:separator/>
      </w:r>
    </w:p>
  </w:footnote>
  <w:footnote w:type="continuationSeparator" w:id="0">
    <w:p w:rsidR="00E40123" w:rsidRDefault="00E40123" w:rsidP="00E81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50"/>
    <w:rsid w:val="004B5378"/>
    <w:rsid w:val="00E40123"/>
    <w:rsid w:val="00E8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1950"/>
    <w:pPr>
      <w:keepNext/>
      <w:keepLines/>
      <w:jc w:val="center"/>
      <w:outlineLvl w:val="0"/>
    </w:pPr>
    <w:rPr>
      <w:rFonts w:ascii="Arial Narrow" w:eastAsia="Arial Narrow" w:hAnsi="Arial Narrow" w:cs="Arial Narrow"/>
      <w:b/>
      <w:color w:val="000000"/>
    </w:rPr>
  </w:style>
  <w:style w:type="paragraph" w:styleId="Heading2">
    <w:name w:val="heading 2"/>
    <w:basedOn w:val="normal0"/>
    <w:next w:val="normal0"/>
    <w:rsid w:val="00E8195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E8195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E81950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E81950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E8195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1950"/>
  </w:style>
  <w:style w:type="paragraph" w:styleId="Title">
    <w:name w:val="Title"/>
    <w:basedOn w:val="normal0"/>
    <w:next w:val="normal0"/>
    <w:rsid w:val="00E81950"/>
    <w:pPr>
      <w:keepNext/>
      <w:keepLines/>
      <w:jc w:val="center"/>
    </w:pPr>
    <w:rPr>
      <w:rFonts w:ascii="Arial Narrow" w:eastAsia="Arial Narrow" w:hAnsi="Arial Narrow" w:cs="Arial Narrow"/>
      <w:b/>
      <w:color w:val="000000"/>
    </w:rPr>
  </w:style>
  <w:style w:type="paragraph" w:styleId="Subtitle">
    <w:name w:val="Subtitle"/>
    <w:basedOn w:val="normal0"/>
    <w:next w:val="normal0"/>
    <w:rsid w:val="00E81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195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8195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8195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68Rhu0F2PwtdG5TMjJ6MElnV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68Rhu0F2PwtdWxDWHQ0QXgwWm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68Rhu0F2PwtU2MtZ0p5Wlg1Z1U" TargetMode="External"/><Relationship Id="rId11" Type="http://schemas.openxmlformats.org/officeDocument/2006/relationships/hyperlink" Target="https://drive.google.com/open?id=1pqoETSvD7X33RRrM99xlJ7SOYnun570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0_yFc07nrb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68Rhu0F2PwtR3VDSzN0QmhZTU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Hall</dc:creator>
  <cp:lastModifiedBy>Alyssa Hall</cp:lastModifiedBy>
  <cp:revision>2</cp:revision>
  <dcterms:created xsi:type="dcterms:W3CDTF">2018-04-19T03:27:00Z</dcterms:created>
  <dcterms:modified xsi:type="dcterms:W3CDTF">2018-04-19T03:27:00Z</dcterms:modified>
</cp:coreProperties>
</file>